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8CD04" w14:textId="77777777" w:rsidR="001B5433" w:rsidRDefault="001B5433" w:rsidP="001B5433">
      <w:pPr>
        <w:pStyle w:val="Header"/>
        <w:spacing w:after="0" w:line="240" w:lineRule="auto"/>
        <w:jc w:val="center"/>
        <w:rPr>
          <w:rFonts w:ascii="Garamond" w:hAnsi="Garamond"/>
          <w:noProof/>
        </w:rPr>
      </w:pPr>
      <w:r w:rsidRPr="00757572">
        <w:rPr>
          <w:rFonts w:ascii="Garamond" w:hAnsi="Garamond"/>
          <w:noProof/>
        </w:rPr>
        <w:drawing>
          <wp:inline distT="0" distB="0" distL="0" distR="0" wp14:anchorId="4215E8BE" wp14:editId="5D8E9983">
            <wp:extent cx="2333625" cy="447675"/>
            <wp:effectExtent l="0" t="0" r="0" b="0"/>
            <wp:docPr id="1" name="Picture 1" descr="Untitled-1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titled-1.a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25169" r="9912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0F82" w14:textId="77777777" w:rsidR="001B5433" w:rsidRPr="00561C2C" w:rsidRDefault="001B5433" w:rsidP="001B5433">
      <w:pPr>
        <w:pStyle w:val="Header"/>
        <w:spacing w:after="0" w:line="240" w:lineRule="auto"/>
        <w:jc w:val="center"/>
        <w:rPr>
          <w:sz w:val="24"/>
        </w:rPr>
      </w:pPr>
      <w:r w:rsidRPr="00561C2C">
        <w:rPr>
          <w:rFonts w:ascii="Garamond" w:hAnsi="Garamond"/>
          <w:b/>
          <w:bCs/>
          <w:sz w:val="24"/>
        </w:rPr>
        <w:t>Doctor of Social Work</w:t>
      </w:r>
    </w:p>
    <w:p w14:paraId="2175CE36" w14:textId="77777777" w:rsidR="001B5433" w:rsidRPr="00561C2C" w:rsidRDefault="001B5433" w:rsidP="001B5433">
      <w:pPr>
        <w:spacing w:after="0" w:line="240" w:lineRule="auto"/>
        <w:jc w:val="center"/>
        <w:rPr>
          <w:rFonts w:ascii="Garamond" w:hAnsi="Garamond"/>
          <w:b/>
          <w:bCs/>
          <w:sz w:val="24"/>
        </w:rPr>
      </w:pPr>
      <w:r w:rsidRPr="00561C2C">
        <w:rPr>
          <w:rFonts w:ascii="Garamond" w:hAnsi="Garamond"/>
          <w:bCs/>
          <w:sz w:val="24"/>
        </w:rPr>
        <w:t xml:space="preserve">SWK/SOWK </w:t>
      </w:r>
      <w:r w:rsidRPr="00561C2C">
        <w:rPr>
          <w:rFonts w:ascii="Garamond" w:hAnsi="Garamond"/>
          <w:bCs/>
          <w:color w:val="000000"/>
          <w:sz w:val="24"/>
        </w:rPr>
        <w:t xml:space="preserve">705: </w:t>
      </w:r>
      <w:r w:rsidRPr="00561C2C">
        <w:rPr>
          <w:rFonts w:ascii="Garamond" w:hAnsi="Garamond"/>
          <w:bCs/>
          <w:i/>
          <w:color w:val="000000"/>
          <w:sz w:val="24"/>
        </w:rPr>
        <w:t>The Social Work Teacher-Scholar II</w:t>
      </w:r>
    </w:p>
    <w:p w14:paraId="3F74BB3E" w14:textId="77777777" w:rsidR="001B5433" w:rsidRPr="00561C2C" w:rsidRDefault="001B5433" w:rsidP="001B5433">
      <w:pPr>
        <w:pStyle w:val="Header"/>
        <w:spacing w:after="0" w:line="240" w:lineRule="auto"/>
        <w:jc w:val="center"/>
        <w:rPr>
          <w:sz w:val="24"/>
        </w:rPr>
      </w:pPr>
      <w:r w:rsidRPr="00561C2C">
        <w:rPr>
          <w:rFonts w:ascii="Garamond" w:hAnsi="Garamond"/>
          <w:bCs/>
          <w:color w:val="000000"/>
          <w:sz w:val="24"/>
        </w:rPr>
        <w:t xml:space="preserve">Rubric for </w:t>
      </w:r>
      <w:r w:rsidRPr="00561C2C">
        <w:rPr>
          <w:rFonts w:ascii="Garamond" w:hAnsi="Garamond"/>
          <w:bCs/>
          <w:i/>
          <w:color w:val="000000"/>
          <w:sz w:val="24"/>
        </w:rPr>
        <w:t>Teaching Demonstrations (Part I, II, III)</w:t>
      </w:r>
    </w:p>
    <w:p w14:paraId="7C401A41" w14:textId="77777777" w:rsidR="001B5433" w:rsidRDefault="001B5433" w:rsidP="001B5433">
      <w:pPr>
        <w:rPr>
          <w:rFonts w:ascii="Times New Roman" w:hAnsi="Times New Roman" w:cs="Times New Roman"/>
          <w:sz w:val="24"/>
          <w:szCs w:val="24"/>
        </w:rPr>
      </w:pPr>
    </w:p>
    <w:p w14:paraId="423C1C8F" w14:textId="77777777" w:rsidR="001B5433" w:rsidRPr="002D651F" w:rsidRDefault="001B5433" w:rsidP="001B5433">
      <w:pPr>
        <w:rPr>
          <w:rFonts w:ascii="Garamond" w:hAnsi="Garamond" w:cs="Times New Roman"/>
          <w:sz w:val="24"/>
          <w:szCs w:val="24"/>
        </w:rPr>
      </w:pPr>
      <w:r w:rsidRPr="002D651F">
        <w:rPr>
          <w:rFonts w:ascii="Garamond" w:hAnsi="Garamond" w:cs="Times New Roman"/>
          <w:sz w:val="24"/>
          <w:szCs w:val="24"/>
        </w:rPr>
        <w:t xml:space="preserve">Please rate each item using the scale given; with 5 indicating the objective was fully met and 1 indicating the objective was not at all met.  Please mark “N/O” for “No Opportunity,” if appropriate.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B5433" w:rsidRPr="002D651F" w14:paraId="68E8C25A" w14:textId="77777777" w:rsidTr="00B4172D">
        <w:tc>
          <w:tcPr>
            <w:tcW w:w="4675" w:type="dxa"/>
          </w:tcPr>
          <w:p w14:paraId="172077FD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The purpose was clearly stated.</w:t>
            </w:r>
          </w:p>
        </w:tc>
        <w:tc>
          <w:tcPr>
            <w:tcW w:w="4675" w:type="dxa"/>
          </w:tcPr>
          <w:p w14:paraId="53A7D6D0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6F1A21C5" w14:textId="77777777" w:rsidTr="00B4172D">
        <w:tc>
          <w:tcPr>
            <w:tcW w:w="4675" w:type="dxa"/>
          </w:tcPr>
          <w:p w14:paraId="4474D9E7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The presentation was well-organized.</w:t>
            </w:r>
          </w:p>
        </w:tc>
        <w:tc>
          <w:tcPr>
            <w:tcW w:w="4675" w:type="dxa"/>
          </w:tcPr>
          <w:p w14:paraId="51D83946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66B52B03" w14:textId="77777777" w:rsidTr="00B4172D">
        <w:tc>
          <w:tcPr>
            <w:tcW w:w="4675" w:type="dxa"/>
          </w:tcPr>
          <w:p w14:paraId="588E7F9F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Handouts contributed to the presentation.</w:t>
            </w:r>
          </w:p>
        </w:tc>
        <w:tc>
          <w:tcPr>
            <w:tcW w:w="4675" w:type="dxa"/>
          </w:tcPr>
          <w:p w14:paraId="6DC2D6BE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0E138EAF" w14:textId="77777777" w:rsidTr="00B4172D">
        <w:tc>
          <w:tcPr>
            <w:tcW w:w="4675" w:type="dxa"/>
          </w:tcPr>
          <w:p w14:paraId="4F3FF2D2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Audiovisual aids contributed to the presentation.</w:t>
            </w:r>
          </w:p>
        </w:tc>
        <w:tc>
          <w:tcPr>
            <w:tcW w:w="4675" w:type="dxa"/>
          </w:tcPr>
          <w:p w14:paraId="63534F3C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7B5033BB" w14:textId="77777777" w:rsidTr="00B4172D">
        <w:tc>
          <w:tcPr>
            <w:tcW w:w="4675" w:type="dxa"/>
          </w:tcPr>
          <w:p w14:paraId="1F5599E8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A clear summary was included that reflected the purpose of the presentation.</w:t>
            </w:r>
          </w:p>
        </w:tc>
        <w:tc>
          <w:tcPr>
            <w:tcW w:w="4675" w:type="dxa"/>
          </w:tcPr>
          <w:p w14:paraId="31FE13F4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4D726A60" w14:textId="77777777" w:rsidTr="00B4172D">
        <w:tc>
          <w:tcPr>
            <w:tcW w:w="4675" w:type="dxa"/>
          </w:tcPr>
          <w:p w14:paraId="4EDD80B2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The content was appropriate for the targeted audience.</w:t>
            </w:r>
          </w:p>
        </w:tc>
        <w:tc>
          <w:tcPr>
            <w:tcW w:w="4675" w:type="dxa"/>
          </w:tcPr>
          <w:p w14:paraId="229F1EEF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7938C74E" w14:textId="77777777" w:rsidTr="00B4172D">
        <w:tc>
          <w:tcPr>
            <w:tcW w:w="4675" w:type="dxa"/>
          </w:tcPr>
          <w:p w14:paraId="3967BD84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The verbal presentation was engaging.</w:t>
            </w:r>
          </w:p>
        </w:tc>
        <w:tc>
          <w:tcPr>
            <w:tcW w:w="4675" w:type="dxa"/>
          </w:tcPr>
          <w:p w14:paraId="5BDE4638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4373B9EB" w14:textId="77777777" w:rsidTr="00B4172D">
        <w:tc>
          <w:tcPr>
            <w:tcW w:w="4675" w:type="dxa"/>
          </w:tcPr>
          <w:p w14:paraId="1242E9EF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The non-verbal presentation was appropriate.</w:t>
            </w:r>
          </w:p>
        </w:tc>
        <w:tc>
          <w:tcPr>
            <w:tcW w:w="4675" w:type="dxa"/>
          </w:tcPr>
          <w:p w14:paraId="2C152D33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0204C0C1" w14:textId="77777777" w:rsidTr="00B4172D">
        <w:tc>
          <w:tcPr>
            <w:tcW w:w="4675" w:type="dxa"/>
          </w:tcPr>
          <w:p w14:paraId="49B055A5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The presentation content was supported with examples.</w:t>
            </w:r>
          </w:p>
        </w:tc>
        <w:tc>
          <w:tcPr>
            <w:tcW w:w="4675" w:type="dxa"/>
          </w:tcPr>
          <w:p w14:paraId="0CD27CA7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3A1A8AB8" w14:textId="77777777" w:rsidTr="00B4172D">
        <w:tc>
          <w:tcPr>
            <w:tcW w:w="4675" w:type="dxa"/>
          </w:tcPr>
          <w:p w14:paraId="0B63546E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The presentation content was clear.</w:t>
            </w:r>
          </w:p>
        </w:tc>
        <w:tc>
          <w:tcPr>
            <w:tcW w:w="4675" w:type="dxa"/>
          </w:tcPr>
          <w:p w14:paraId="7CAAA8CC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77B20D24" w14:textId="77777777" w:rsidTr="00B4172D">
        <w:tc>
          <w:tcPr>
            <w:tcW w:w="4675" w:type="dxa"/>
          </w:tcPr>
          <w:p w14:paraId="27487FB3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The interaction with students was responsive and focused.</w:t>
            </w:r>
          </w:p>
        </w:tc>
        <w:tc>
          <w:tcPr>
            <w:tcW w:w="4675" w:type="dxa"/>
          </w:tcPr>
          <w:p w14:paraId="2357BB1D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5E5E4BBA" w14:textId="77777777" w:rsidTr="00B4172D">
        <w:tc>
          <w:tcPr>
            <w:tcW w:w="4675" w:type="dxa"/>
          </w:tcPr>
          <w:p w14:paraId="04AF1478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Feedback was solicited appropriately.</w:t>
            </w:r>
          </w:p>
        </w:tc>
        <w:tc>
          <w:tcPr>
            <w:tcW w:w="4675" w:type="dxa"/>
          </w:tcPr>
          <w:p w14:paraId="4BB0F2C5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1E53A0EB" w14:textId="77777777" w:rsidTr="00B4172D">
        <w:tc>
          <w:tcPr>
            <w:tcW w:w="4675" w:type="dxa"/>
          </w:tcPr>
          <w:p w14:paraId="628C0871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Students were encouraged and supported to engage in questioning.</w:t>
            </w:r>
          </w:p>
        </w:tc>
        <w:tc>
          <w:tcPr>
            <w:tcW w:w="4675" w:type="dxa"/>
          </w:tcPr>
          <w:p w14:paraId="312CCA24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6937F830" w14:textId="77777777" w:rsidTr="00B4172D">
        <w:tc>
          <w:tcPr>
            <w:tcW w:w="4675" w:type="dxa"/>
          </w:tcPr>
          <w:p w14:paraId="0951290C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Students were provided opportunities to practice the targeted skills.</w:t>
            </w:r>
          </w:p>
        </w:tc>
        <w:tc>
          <w:tcPr>
            <w:tcW w:w="4675" w:type="dxa"/>
          </w:tcPr>
          <w:p w14:paraId="09A06464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72D3AF31" w14:textId="77777777" w:rsidTr="00B4172D">
        <w:tc>
          <w:tcPr>
            <w:tcW w:w="4675" w:type="dxa"/>
          </w:tcPr>
          <w:p w14:paraId="23393B8E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Inclusive language and case examples were used.</w:t>
            </w:r>
          </w:p>
        </w:tc>
        <w:tc>
          <w:tcPr>
            <w:tcW w:w="4675" w:type="dxa"/>
          </w:tcPr>
          <w:p w14:paraId="65AE8290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1B5433" w:rsidRPr="002D651F" w14:paraId="11D86F6D" w14:textId="77777777" w:rsidTr="00B4172D">
        <w:tc>
          <w:tcPr>
            <w:tcW w:w="4675" w:type="dxa"/>
          </w:tcPr>
          <w:p w14:paraId="3DF4E5AF" w14:textId="77777777" w:rsidR="001B5433" w:rsidRPr="002D651F" w:rsidRDefault="001B5433" w:rsidP="00B4172D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>Students were encouraged and supported to engage in discussion.</w:t>
            </w:r>
          </w:p>
        </w:tc>
        <w:tc>
          <w:tcPr>
            <w:tcW w:w="4675" w:type="dxa"/>
          </w:tcPr>
          <w:p w14:paraId="771C4037" w14:textId="77777777" w:rsidR="001B5433" w:rsidRPr="002D651F" w:rsidRDefault="001B5433" w:rsidP="00B4172D">
            <w:pPr>
              <w:rPr>
                <w:rFonts w:ascii="Garamond" w:hAnsi="Garamond"/>
                <w:sz w:val="24"/>
              </w:rPr>
            </w:pPr>
            <w:r w:rsidRPr="002D651F">
              <w:rPr>
                <w:rFonts w:ascii="Garamond" w:hAnsi="Garamond" w:cs="Times New Roman"/>
                <w:sz w:val="24"/>
                <w:szCs w:val="24"/>
              </w:rPr>
              <w:t xml:space="preserve">N/O         1         2         3         4         </w:t>
            </w:r>
            <w:r w:rsidRPr="00AA66CF">
              <w:rPr>
                <w:rFonts w:ascii="Garamond" w:hAnsi="Garamond" w:cs="Times New Roman"/>
                <w:sz w:val="24"/>
                <w:szCs w:val="24"/>
                <w:highlight w:val="yellow"/>
              </w:rPr>
              <w:t>5</w:t>
            </w:r>
          </w:p>
        </w:tc>
      </w:tr>
    </w:tbl>
    <w:p w14:paraId="37375C60" w14:textId="77777777" w:rsidR="001B5433" w:rsidRPr="002D651F" w:rsidRDefault="001B5433" w:rsidP="001B5433">
      <w:pPr>
        <w:jc w:val="center"/>
        <w:rPr>
          <w:rFonts w:ascii="Garamond" w:hAnsi="Garamond" w:cs="Times New Roman"/>
          <w:sz w:val="24"/>
          <w:szCs w:val="24"/>
        </w:rPr>
      </w:pPr>
    </w:p>
    <w:p w14:paraId="61DF960E" w14:textId="77777777" w:rsidR="001B5433" w:rsidRDefault="001B5433" w:rsidP="001B5433">
      <w:pPr>
        <w:rPr>
          <w:rFonts w:ascii="Garamond" w:hAnsi="Garamond"/>
        </w:rPr>
      </w:pPr>
      <w:r w:rsidRPr="002D651F">
        <w:rPr>
          <w:rFonts w:ascii="Garamond" w:hAnsi="Garamond"/>
        </w:rPr>
        <w:t xml:space="preserve">Overall Feedback: </w:t>
      </w:r>
    </w:p>
    <w:p w14:paraId="7F0B20C7" w14:textId="4ABD1484" w:rsidR="001B5433" w:rsidRPr="002D651F" w:rsidRDefault="001B5433" w:rsidP="00AA66CF">
      <w:pPr>
        <w:rPr>
          <w:rFonts w:ascii="Garamond" w:hAnsi="Garamond"/>
        </w:rPr>
      </w:pPr>
      <w:r>
        <w:rPr>
          <w:rFonts w:ascii="Garamond" w:hAnsi="Garamond"/>
        </w:rPr>
        <w:t>___</w:t>
      </w:r>
      <w:r w:rsidR="00AA66CF">
        <w:rPr>
          <w:rFonts w:ascii="Garamond" w:hAnsi="Garamond"/>
          <w:u w:val="single"/>
        </w:rPr>
        <w:t>Loved it Tina!!! Great job!!  It’s so hard to keep students engaged in a subject area like stats but you did it. You made the material feel interesting, approachable and unintimidating. Loved the use of the quiz responses in the end.</w:t>
      </w:r>
    </w:p>
    <w:p w14:paraId="25E9B58D" w14:textId="77777777" w:rsidR="001B5433" w:rsidRDefault="001B5433" w:rsidP="001B5433">
      <w:pPr>
        <w:rPr>
          <w:rFonts w:ascii="Garamond" w:hAnsi="Garamond"/>
        </w:rPr>
      </w:pPr>
      <w:r w:rsidRPr="002D651F">
        <w:rPr>
          <w:rFonts w:ascii="Garamond" w:hAnsi="Garamond"/>
        </w:rPr>
        <w:t>Special Strengths:</w:t>
      </w:r>
    </w:p>
    <w:p w14:paraId="299CB0BA" w14:textId="5A57C27C" w:rsidR="001B5433" w:rsidRPr="002D651F" w:rsidRDefault="001B5433" w:rsidP="00AA66CF">
      <w:pPr>
        <w:rPr>
          <w:rFonts w:ascii="Garamond" w:hAnsi="Garamond"/>
        </w:rPr>
      </w:pPr>
      <w:r>
        <w:rPr>
          <w:rFonts w:ascii="Garamond" w:hAnsi="Garamond"/>
        </w:rPr>
        <w:lastRenderedPageBreak/>
        <w:t>_</w:t>
      </w:r>
      <w:r w:rsidR="00AA66CF">
        <w:rPr>
          <w:rFonts w:ascii="Garamond" w:hAnsi="Garamond"/>
          <w:u w:val="single"/>
        </w:rPr>
        <w:t xml:space="preserve">Comfort with the material and ability to deliver it in a way that students could understand without being overwhelmed.  Use of responsive quiz at the end to test knowledge gained and also engage the class in a fun way. </w:t>
      </w:r>
    </w:p>
    <w:p w14:paraId="7B348717" w14:textId="77777777" w:rsidR="001B5433" w:rsidRDefault="001B5433" w:rsidP="001B5433">
      <w:pPr>
        <w:rPr>
          <w:rFonts w:ascii="Garamond" w:hAnsi="Garamond"/>
        </w:rPr>
      </w:pPr>
      <w:r w:rsidRPr="002D651F">
        <w:rPr>
          <w:rFonts w:ascii="Garamond" w:hAnsi="Garamond"/>
        </w:rPr>
        <w:t>Areas for Improvement:</w:t>
      </w:r>
    </w:p>
    <w:p w14:paraId="2B785306" w14:textId="68339D5F" w:rsidR="001B5433" w:rsidRPr="00AA66CF" w:rsidRDefault="00AA66CF" w:rsidP="001B5433">
      <w:pPr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t xml:space="preserve">Use a couple response questions during the lecture as opposed to just at the end. Great teaching otherwise. </w:t>
      </w:r>
      <w:bookmarkStart w:id="0" w:name="_GoBack"/>
      <w:bookmarkEnd w:id="0"/>
    </w:p>
    <w:p w14:paraId="7AC0B667" w14:textId="77777777" w:rsidR="001B5433" w:rsidRDefault="001B5433"/>
    <w:sectPr w:rsidR="001B5433" w:rsidSect="003445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2F62D5"/>
    <w:multiLevelType w:val="hybridMultilevel"/>
    <w:tmpl w:val="80A25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433"/>
    <w:rsid w:val="001B5433"/>
    <w:rsid w:val="00AA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31FCE"/>
  <w15:chartTrackingRefBased/>
  <w15:docId w15:val="{6DF4CA9C-D1FE-464B-88A4-B3E39FA5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5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54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B5433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B543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Trini</dc:creator>
  <cp:keywords/>
  <dc:description/>
  <cp:lastModifiedBy>SANDy Trini</cp:lastModifiedBy>
  <cp:revision>1</cp:revision>
  <dcterms:created xsi:type="dcterms:W3CDTF">2019-11-11T01:01:00Z</dcterms:created>
  <dcterms:modified xsi:type="dcterms:W3CDTF">2019-11-11T01:17:00Z</dcterms:modified>
</cp:coreProperties>
</file>